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E04D81">
        <w:rPr>
          <w:rFonts w:ascii="Times New Roman" w:hAnsi="Times New Roman" w:cs="Times New Roman"/>
          <w:sz w:val="56"/>
          <w:szCs w:val="56"/>
        </w:rPr>
        <w:t>1.06</w:t>
      </w:r>
      <w:r w:rsidR="00D266B9">
        <w:rPr>
          <w:rFonts w:ascii="Times New Roman" w:hAnsi="Times New Roman" w:cs="Times New Roman"/>
          <w:sz w:val="56"/>
          <w:szCs w:val="56"/>
        </w:rPr>
        <w:t>/2021</w:t>
      </w:r>
    </w:p>
    <w:p w:rsidR="00D60301" w:rsidRDefault="006C6AC6" w:rsidP="00B43472">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B43472" w:rsidRPr="00B43472">
        <w:rPr>
          <w:rFonts w:ascii="Times New Roman" w:hAnsi="Times New Roman"/>
          <w:sz w:val="19"/>
          <w:szCs w:val="19"/>
        </w:rPr>
        <w:t>CP</w:t>
      </w:r>
      <w:r w:rsidR="00B43472">
        <w:rPr>
          <w:rFonts w:ascii="Times New Roman" w:hAnsi="Times New Roman"/>
          <w:sz w:val="19"/>
          <w:szCs w:val="19"/>
        </w:rPr>
        <w:t>C-Steckverbinder</w:t>
      </w:r>
      <w:r w:rsidR="007862F2">
        <w:rPr>
          <w:rFonts w:ascii="Times New Roman" w:hAnsi="Times New Roman"/>
          <w:sz w:val="19"/>
          <w:szCs w:val="19"/>
        </w:rPr>
        <w:t xml:space="preserve"> S</w:t>
      </w:r>
      <w:r w:rsidR="00B43472">
        <w:rPr>
          <w:rFonts w:ascii="Times New Roman" w:hAnsi="Times New Roman"/>
          <w:sz w:val="19"/>
          <w:szCs w:val="19"/>
        </w:rPr>
        <w:t xml:space="preserve">erie </w:t>
      </w:r>
      <w:proofErr w:type="spellStart"/>
      <w:r w:rsidR="00B43472">
        <w:rPr>
          <w:rFonts w:ascii="Times New Roman" w:hAnsi="Times New Roman"/>
          <w:sz w:val="19"/>
          <w:szCs w:val="19"/>
        </w:rPr>
        <w:t>umspritzt</w:t>
      </w:r>
      <w:proofErr w:type="spellEnd"/>
      <w:r w:rsidR="00B43472">
        <w:rPr>
          <w:rFonts w:ascii="Times New Roman" w:hAnsi="Times New Roman"/>
          <w:sz w:val="19"/>
          <w:szCs w:val="19"/>
        </w:rPr>
        <w:t xml:space="preserve"> - </w:t>
      </w:r>
      <w:r w:rsidR="00B43472" w:rsidRPr="00B43472">
        <w:rPr>
          <w:rFonts w:ascii="Times New Roman" w:hAnsi="Times New Roman"/>
          <w:sz w:val="19"/>
          <w:szCs w:val="19"/>
        </w:rPr>
        <w:t>Einzelausgang, Doppelausgang und Abschlusskappe</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940000" cy="2624400"/>
            <wp:effectExtent l="0" t="0" r="3810" b="508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000" cy="2624400"/>
                    </a:xfrm>
                    <a:prstGeom prst="rect">
                      <a:avLst/>
                    </a:prstGeom>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-79022</wp:posOffset>
                </wp:positionH>
                <wp:positionV relativeFrom="paragraph">
                  <wp:posOffset>19473</wp:posOffset>
                </wp:positionV>
                <wp:extent cx="4700270" cy="2540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54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B43472">
                              <w:rPr>
                                <w:rFonts w:ascii="Times New Roman" w:hAnsi="Times New Roman" w:cs="Times New Roman"/>
                              </w:rPr>
                              <w:t xml:space="preserve"> CPC Steckverbinder Serie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2pt;margin-top:1.55pt;width:370.1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B43472">
                        <w:rPr>
                          <w:rFonts w:ascii="Times New Roman" w:hAnsi="Times New Roman" w:cs="Times New Roman"/>
                        </w:rPr>
                        <w:t xml:space="preserve"> CPC Steckverbinder Serie</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66255D" w:rsidRDefault="0066255D" w:rsidP="0066255D">
      <w:pPr>
        <w:jc w:val="both"/>
        <w:rPr>
          <w:rFonts w:ascii="Times New Roman" w:hAnsi="Times New Roman" w:cs="Times New Roman"/>
          <w:sz w:val="20"/>
          <w:szCs w:val="20"/>
        </w:rPr>
      </w:pPr>
    </w:p>
    <w:p w:rsidR="006E7F4E"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 xml:space="preserve">CONEC hat das Programm der Agrarsteckverbinder um </w:t>
      </w:r>
      <w:proofErr w:type="spellStart"/>
      <w:r w:rsidRPr="00B43472">
        <w:rPr>
          <w:rFonts w:ascii="Times New Roman" w:hAnsi="Times New Roman" w:cs="Times New Roman"/>
          <w:sz w:val="22"/>
          <w:szCs w:val="22"/>
        </w:rPr>
        <w:t>umspritzte</w:t>
      </w:r>
      <w:proofErr w:type="spellEnd"/>
      <w:r w:rsidRPr="00B43472">
        <w:rPr>
          <w:rFonts w:ascii="Times New Roman" w:hAnsi="Times New Roman" w:cs="Times New Roman"/>
          <w:sz w:val="22"/>
          <w:szCs w:val="22"/>
        </w:rPr>
        <w:t xml:space="preserve"> Ausführungen der </w:t>
      </w:r>
    </w:p>
    <w:p w:rsid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CPC-</w:t>
      </w:r>
      <w:proofErr w:type="spellStart"/>
      <w:r w:rsidRPr="00B43472">
        <w:rPr>
          <w:rFonts w:ascii="Times New Roman" w:hAnsi="Times New Roman" w:cs="Times New Roman"/>
          <w:sz w:val="22"/>
          <w:szCs w:val="22"/>
        </w:rPr>
        <w:t>Steckverbinderserie</w:t>
      </w:r>
      <w:proofErr w:type="spellEnd"/>
      <w:r w:rsidRPr="00B43472">
        <w:rPr>
          <w:rFonts w:ascii="Times New Roman" w:hAnsi="Times New Roman" w:cs="Times New Roman"/>
          <w:sz w:val="22"/>
          <w:szCs w:val="22"/>
        </w:rPr>
        <w:t xml:space="preserve"> erweitert. </w:t>
      </w:r>
    </w:p>
    <w:p w:rsidR="00B43472" w:rsidRPr="00B43472" w:rsidRDefault="00B43472" w:rsidP="00B43472">
      <w:pPr>
        <w:jc w:val="both"/>
        <w:rPr>
          <w:rFonts w:ascii="Times New Roman" w:hAnsi="Times New Roman" w:cs="Times New Roman"/>
          <w:sz w:val="22"/>
          <w:szCs w:val="22"/>
        </w:rPr>
      </w:pPr>
    </w:p>
    <w:p w:rsid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 xml:space="preserve">CPC Steckverbinder finden zusätzlich zu dem Bereich der Agrar-, Land- und Fahrzeugtechnik häufig in Schaltschränken, Robotertechnik, Spritzgussmaschinen und Werkzeugmaschinen Verwendung. Es handelt sich um eine robuste </w:t>
      </w:r>
      <w:proofErr w:type="spellStart"/>
      <w:r w:rsidRPr="00B43472">
        <w:rPr>
          <w:rFonts w:ascii="Times New Roman" w:hAnsi="Times New Roman" w:cs="Times New Roman"/>
          <w:sz w:val="22"/>
          <w:szCs w:val="22"/>
        </w:rPr>
        <w:t>Steckverbinderausführung</w:t>
      </w:r>
      <w:proofErr w:type="spellEnd"/>
      <w:r w:rsidRPr="00B43472">
        <w:rPr>
          <w:rFonts w:ascii="Times New Roman" w:hAnsi="Times New Roman" w:cs="Times New Roman"/>
          <w:sz w:val="22"/>
          <w:szCs w:val="22"/>
        </w:rPr>
        <w:t xml:space="preserve">, welche im Gegensatz zu den bisherigen Agrarsteckverbindern im CONEC Programm über eine Schraubverbindung mit positiver </w:t>
      </w:r>
      <w:proofErr w:type="spellStart"/>
      <w:r w:rsidRPr="00B43472">
        <w:rPr>
          <w:rFonts w:ascii="Times New Roman" w:hAnsi="Times New Roman" w:cs="Times New Roman"/>
          <w:sz w:val="22"/>
          <w:szCs w:val="22"/>
        </w:rPr>
        <w:t>Verrastung</w:t>
      </w:r>
      <w:proofErr w:type="spellEnd"/>
      <w:r w:rsidRPr="00B43472">
        <w:rPr>
          <w:rFonts w:ascii="Times New Roman" w:hAnsi="Times New Roman" w:cs="Times New Roman"/>
          <w:sz w:val="22"/>
          <w:szCs w:val="22"/>
        </w:rPr>
        <w:t xml:space="preserve"> verfügt und von der </w:t>
      </w:r>
      <w:proofErr w:type="spellStart"/>
      <w:r w:rsidRPr="00B43472">
        <w:rPr>
          <w:rFonts w:ascii="Times New Roman" w:hAnsi="Times New Roman" w:cs="Times New Roman"/>
          <w:sz w:val="22"/>
          <w:szCs w:val="22"/>
        </w:rPr>
        <w:t>Baugrösse</w:t>
      </w:r>
      <w:proofErr w:type="spellEnd"/>
      <w:r w:rsidRPr="00B43472">
        <w:rPr>
          <w:rFonts w:ascii="Times New Roman" w:hAnsi="Times New Roman" w:cs="Times New Roman"/>
          <w:sz w:val="22"/>
          <w:szCs w:val="22"/>
        </w:rPr>
        <w:t xml:space="preserve"> her kleiner ist, als z.B. ein </w:t>
      </w:r>
      <w:proofErr w:type="spellStart"/>
      <w:r w:rsidRPr="00B43472">
        <w:rPr>
          <w:rFonts w:ascii="Times New Roman" w:hAnsi="Times New Roman" w:cs="Times New Roman"/>
          <w:sz w:val="22"/>
          <w:szCs w:val="22"/>
        </w:rPr>
        <w:t>Isobus</w:t>
      </w:r>
      <w:proofErr w:type="spellEnd"/>
      <w:r w:rsidRPr="00B43472">
        <w:rPr>
          <w:rFonts w:ascii="Times New Roman" w:hAnsi="Times New Roman" w:cs="Times New Roman"/>
          <w:sz w:val="22"/>
          <w:szCs w:val="22"/>
        </w:rPr>
        <w:t xml:space="preserve"> Steckverbinder.</w:t>
      </w:r>
    </w:p>
    <w:p w:rsidR="00B43472" w:rsidRPr="00B43472" w:rsidRDefault="00B43472" w:rsidP="00B43472">
      <w:pPr>
        <w:jc w:val="both"/>
        <w:rPr>
          <w:rFonts w:ascii="Times New Roman" w:hAnsi="Times New Roman" w:cs="Times New Roman"/>
          <w:sz w:val="22"/>
          <w:szCs w:val="22"/>
        </w:rPr>
      </w:pPr>
    </w:p>
    <w:p w:rsidR="00097D5E"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Es sind sowohl Ausführungen mit Einzel- und Doppelausgang für die Leitung, so</w:t>
      </w:r>
      <w:r>
        <w:rPr>
          <w:rFonts w:ascii="Times New Roman" w:hAnsi="Times New Roman" w:cs="Times New Roman"/>
          <w:sz w:val="22"/>
          <w:szCs w:val="22"/>
        </w:rPr>
        <w:t xml:space="preserve">wie Abschlusskappen erhältlich. </w:t>
      </w:r>
      <w:r w:rsidRPr="00B43472">
        <w:rPr>
          <w:rFonts w:ascii="Times New Roman" w:hAnsi="Times New Roman" w:cs="Times New Roman"/>
          <w:sz w:val="22"/>
          <w:szCs w:val="22"/>
        </w:rPr>
        <w:t>Die Ausführungen mit Doppelausgang werden zur Verteilung von Signalen und Energie als Y-Verteiler, mit unterschiedlichen Steckverbindern und variablen Leitungslängen eingesetzt. Mit dieser Option können Systeme kompakter aufgebaut und Bauraum eingespart werden.</w:t>
      </w:r>
    </w:p>
    <w:p w:rsidR="00097D5E" w:rsidRDefault="00097D5E" w:rsidP="00097D5E">
      <w:pPr>
        <w:jc w:val="both"/>
        <w:rPr>
          <w:rFonts w:ascii="Times New Roman" w:hAnsi="Times New Roman" w:cs="Times New Roman"/>
          <w:sz w:val="22"/>
          <w:szCs w:val="22"/>
        </w:rPr>
      </w:pPr>
    </w:p>
    <w:p w:rsidR="00097D5E" w:rsidRDefault="00B43472" w:rsidP="00097D5E">
      <w:pPr>
        <w:jc w:val="both"/>
        <w:rPr>
          <w:rFonts w:ascii="Times New Roman" w:hAnsi="Times New Roman" w:cs="Times New Roman"/>
          <w:sz w:val="22"/>
          <w:szCs w:val="22"/>
        </w:rPr>
      </w:pPr>
      <w:r w:rsidRPr="00B43472">
        <w:rPr>
          <w:rFonts w:ascii="Times New Roman" w:hAnsi="Times New Roman" w:cs="Times New Roman"/>
          <w:sz w:val="22"/>
          <w:szCs w:val="22"/>
        </w:rPr>
        <w:t>Auf Anfrage sind hier zusätzlich zu den Standardartikeln mit offenem Leitungsende verschiedenste Kombinationen möglich, wie in nachfolgendem Beispiel dargestellt.</w:t>
      </w:r>
    </w:p>
    <w:p w:rsidR="00097D5E" w:rsidRDefault="00097D5E" w:rsidP="00097D5E">
      <w:pPr>
        <w:jc w:val="both"/>
        <w:rPr>
          <w:rFonts w:ascii="Times New Roman" w:hAnsi="Times New Roman" w:cs="Times New Roman"/>
          <w:sz w:val="22"/>
          <w:szCs w:val="22"/>
        </w:rPr>
      </w:pPr>
    </w:p>
    <w:p w:rsidR="00097D5E" w:rsidRDefault="00B43472" w:rsidP="00097D5E">
      <w:pPr>
        <w:jc w:val="both"/>
        <w:rPr>
          <w:rFonts w:ascii="Times New Roman" w:hAnsi="Times New Roman" w:cs="Times New Roman"/>
          <w:sz w:val="22"/>
          <w:szCs w:val="22"/>
        </w:rPr>
      </w:pPr>
      <w:r>
        <w:rPr>
          <w:rFonts w:ascii="Times New Roman" w:hAnsi="Times New Roman" w:cs="Times New Roman"/>
          <w:noProof/>
          <w:sz w:val="22"/>
          <w:szCs w:val="22"/>
          <w:lang w:bidi="ar-SA"/>
        </w:rPr>
        <w:drawing>
          <wp:inline distT="0" distB="0" distL="0" distR="0">
            <wp:extent cx="4073760" cy="1620078"/>
            <wp:effectExtent l="0" t="0" r="317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CPC_Doppelausgang_schm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8112" cy="1621809"/>
                    </a:xfrm>
                    <a:prstGeom prst="rect">
                      <a:avLst/>
                    </a:prstGeom>
                  </pic:spPr>
                </pic:pic>
              </a:graphicData>
            </a:graphic>
          </wp:inline>
        </w:drawing>
      </w:r>
    </w:p>
    <w:p w:rsidR="00097D5E" w:rsidRPr="00097D5E" w:rsidRDefault="00097D5E" w:rsidP="00097D5E">
      <w:pPr>
        <w:jc w:val="both"/>
        <w:rPr>
          <w:rFonts w:ascii="Times New Roman" w:hAnsi="Times New Roman" w:cs="Times New Roman"/>
          <w:sz w:val="22"/>
          <w:szCs w:val="22"/>
        </w:rPr>
      </w:pPr>
    </w:p>
    <w:p w:rsidR="00B43472" w:rsidRDefault="00B43472" w:rsidP="00B43472">
      <w:pPr>
        <w:jc w:val="both"/>
        <w:rPr>
          <w:rFonts w:ascii="Times New Roman" w:hAnsi="Times New Roman" w:cs="Times New Roman"/>
          <w:sz w:val="22"/>
          <w:szCs w:val="22"/>
        </w:rPr>
      </w:pPr>
    </w:p>
    <w:p w:rsidR="00B43472" w:rsidRDefault="00B43472" w:rsidP="00B43472">
      <w:pPr>
        <w:jc w:val="both"/>
        <w:rPr>
          <w:rFonts w:ascii="Times New Roman" w:hAnsi="Times New Roman" w:cs="Times New Roman"/>
          <w:sz w:val="22"/>
          <w:szCs w:val="22"/>
        </w:rPr>
      </w:pPr>
    </w:p>
    <w:p w:rsidR="00B43472" w:rsidRP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Zusätzlich zu den Ausführungen mit doppeltem Leitungsausgang hat CONEC ebenfalls Ausführungen als Abschlusskappe für die CPC-Serie umgesetzt.</w:t>
      </w:r>
    </w:p>
    <w:p w:rsid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Mit der Ausführung als A</w:t>
      </w:r>
      <w:r w:rsidR="00D32CD3">
        <w:rPr>
          <w:rFonts w:ascii="Times New Roman" w:hAnsi="Times New Roman" w:cs="Times New Roman"/>
          <w:sz w:val="22"/>
          <w:szCs w:val="22"/>
        </w:rPr>
        <w:t>bschlusskappe können ungenutzte</w:t>
      </w:r>
      <w:bookmarkStart w:id="0" w:name="_GoBack"/>
      <w:bookmarkEnd w:id="0"/>
      <w:r w:rsidRPr="00B43472">
        <w:rPr>
          <w:rFonts w:ascii="Times New Roman" w:hAnsi="Times New Roman" w:cs="Times New Roman"/>
          <w:sz w:val="22"/>
          <w:szCs w:val="22"/>
        </w:rPr>
        <w:t xml:space="preserve"> Steckverbindern nicht nur vor Verschmutzungen geschützt werden. Zusätzlich wird hierdurch die Schutzart nach IP67 im gesteckten Zustand erfüllt.</w:t>
      </w:r>
    </w:p>
    <w:p w:rsidR="00B43472" w:rsidRDefault="00B43472" w:rsidP="00B43472">
      <w:pPr>
        <w:jc w:val="both"/>
        <w:rPr>
          <w:rFonts w:ascii="Times New Roman" w:hAnsi="Times New Roman" w:cs="Times New Roman"/>
          <w:sz w:val="22"/>
          <w:szCs w:val="22"/>
        </w:rPr>
      </w:pPr>
    </w:p>
    <w:p w:rsidR="00B43472" w:rsidRPr="00B43472" w:rsidRDefault="00B43472" w:rsidP="00B43472">
      <w:pPr>
        <w:jc w:val="both"/>
        <w:rPr>
          <w:rFonts w:ascii="Times New Roman" w:hAnsi="Times New Roman" w:cs="Times New Roman"/>
          <w:sz w:val="22"/>
          <w:szCs w:val="22"/>
        </w:rPr>
      </w:pPr>
      <w:r>
        <w:rPr>
          <w:rFonts w:ascii="Times New Roman" w:hAnsi="Times New Roman" w:cs="Times New Roman"/>
          <w:noProof/>
          <w:sz w:val="20"/>
          <w:szCs w:val="20"/>
          <w:lang w:bidi="ar-SA"/>
        </w:rPr>
        <w:drawing>
          <wp:inline distT="0" distB="0" distL="0" distR="0" wp14:anchorId="2D57B794" wp14:editId="192A7DE3">
            <wp:extent cx="5732143" cy="922228"/>
            <wp:effectExtent l="0" t="0" r="254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2143" cy="922228"/>
                    </a:xfrm>
                    <a:prstGeom prst="rect">
                      <a:avLst/>
                    </a:prstGeom>
                  </pic:spPr>
                </pic:pic>
              </a:graphicData>
            </a:graphic>
          </wp:inline>
        </w:drawing>
      </w:r>
    </w:p>
    <w:p w:rsidR="00B43472" w:rsidRPr="00B43472" w:rsidRDefault="00B43472" w:rsidP="00B43472">
      <w:pPr>
        <w:jc w:val="both"/>
        <w:rPr>
          <w:rFonts w:ascii="Times New Roman" w:hAnsi="Times New Roman" w:cs="Times New Roman"/>
          <w:sz w:val="22"/>
          <w:szCs w:val="22"/>
        </w:rPr>
      </w:pPr>
    </w:p>
    <w:p w:rsid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 xml:space="preserve">Die Abschlusskappen werden standardmäßig mit einer Sicherungsschlaufe geliefert, mit welcher diese z.B. unverlierbar an der Leitung des Gegensteckers befestigt werden können. Eine Bohrung am Ende der Kappen bietet hier zusätzliche Möglichkeiten der Befestigung für den Kunden, um z.B. die Abschlusskappe mit einem Stahlseil an einem Gehäuse zu befestigen. </w:t>
      </w:r>
    </w:p>
    <w:p w:rsidR="00B43472" w:rsidRPr="00B43472" w:rsidRDefault="00B43472" w:rsidP="00B43472">
      <w:pPr>
        <w:jc w:val="both"/>
        <w:rPr>
          <w:rFonts w:ascii="Times New Roman" w:hAnsi="Times New Roman" w:cs="Times New Roman"/>
          <w:sz w:val="22"/>
          <w:szCs w:val="22"/>
        </w:rPr>
      </w:pPr>
    </w:p>
    <w:p w:rsidR="00B43472" w:rsidRP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Standardmäßig sind die Kappen ohne Kontakte und zusätzlicher Beschaltung ausgeführt.</w:t>
      </w:r>
    </w:p>
    <w:p w:rsidR="00B43472" w:rsidRPr="00B43472"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Optional ist es möglich, in die Abschlusskappen Widerstände und Kurzschlussbrücken zu integrieren. So können beispielsweise Abschlussstecker für CAN-Bus Systeme und auch Steckverbinder zur Kodierung realisiert werden. Hierdurch ergeben sich vielfältige Anwendungsmöglichkeiten.</w:t>
      </w:r>
    </w:p>
    <w:p w:rsidR="00B43472" w:rsidRPr="00B43472" w:rsidRDefault="00B43472" w:rsidP="00B43472">
      <w:pPr>
        <w:jc w:val="both"/>
        <w:rPr>
          <w:rFonts w:ascii="Times New Roman" w:hAnsi="Times New Roman" w:cs="Times New Roman"/>
          <w:sz w:val="22"/>
          <w:szCs w:val="22"/>
        </w:rPr>
      </w:pPr>
    </w:p>
    <w:p w:rsidR="00E96C97" w:rsidRDefault="00B43472" w:rsidP="00B43472">
      <w:pPr>
        <w:jc w:val="both"/>
        <w:rPr>
          <w:rFonts w:ascii="Times New Roman" w:hAnsi="Times New Roman" w:cs="Times New Roman"/>
          <w:sz w:val="22"/>
          <w:szCs w:val="22"/>
        </w:rPr>
      </w:pPr>
      <w:r w:rsidRPr="00B43472">
        <w:rPr>
          <w:rFonts w:ascii="Times New Roman" w:hAnsi="Times New Roman" w:cs="Times New Roman"/>
          <w:sz w:val="22"/>
          <w:szCs w:val="22"/>
        </w:rPr>
        <w:t xml:space="preserve">Die Ausführungen der </w:t>
      </w:r>
      <w:proofErr w:type="spellStart"/>
      <w:r w:rsidRPr="00B43472">
        <w:rPr>
          <w:rFonts w:ascii="Times New Roman" w:hAnsi="Times New Roman" w:cs="Times New Roman"/>
          <w:sz w:val="22"/>
          <w:szCs w:val="22"/>
        </w:rPr>
        <w:t>umspritzten</w:t>
      </w:r>
      <w:proofErr w:type="spellEnd"/>
      <w:r w:rsidRPr="00B43472">
        <w:rPr>
          <w:rFonts w:ascii="Times New Roman" w:hAnsi="Times New Roman" w:cs="Times New Roman"/>
          <w:sz w:val="22"/>
          <w:szCs w:val="22"/>
        </w:rPr>
        <w:t xml:space="preserve"> CPC-</w:t>
      </w:r>
      <w:proofErr w:type="spellStart"/>
      <w:r w:rsidRPr="00B43472">
        <w:rPr>
          <w:rFonts w:ascii="Times New Roman" w:hAnsi="Times New Roman" w:cs="Times New Roman"/>
          <w:sz w:val="22"/>
          <w:szCs w:val="22"/>
        </w:rPr>
        <w:t>Steckverbinderserie</w:t>
      </w:r>
      <w:proofErr w:type="spellEnd"/>
      <w:r w:rsidRPr="00B43472">
        <w:rPr>
          <w:rFonts w:ascii="Times New Roman" w:hAnsi="Times New Roman" w:cs="Times New Roman"/>
          <w:sz w:val="22"/>
          <w:szCs w:val="22"/>
        </w:rPr>
        <w:t xml:space="preserve"> erfüllen mit Einzel- sowie Doppelausgang und als Abschlusskappe die Schutzart IP67 in gestecktem Zustand.</w:t>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43472" w:rsidP="00555203">
      <w:pPr>
        <w:jc w:val="both"/>
        <w:rPr>
          <w:rFonts w:ascii="Times New Roman" w:hAnsi="Times New Roman" w:cs="Times New Roman"/>
          <w:sz w:val="20"/>
          <w:szCs w:val="20"/>
        </w:rPr>
      </w:pPr>
      <w:r w:rsidRPr="00BE2FDE">
        <w:rPr>
          <w:rFonts w:ascii="Times New Roman" w:hAnsi="Times New Roman" w:cs="Times New Roman"/>
          <w:noProof/>
          <w:sz w:val="20"/>
          <w:szCs w:val="20"/>
          <w:lang w:bidi="ar-SA"/>
        </w:rPr>
        <mc:AlternateContent>
          <mc:Choice Requires="wps">
            <w:drawing>
              <wp:anchor distT="0" distB="0" distL="114300" distR="114300" simplePos="0" relativeHeight="251677696" behindDoc="0" locked="0" layoutInCell="1" allowOverlap="1" wp14:anchorId="1610B8E5" wp14:editId="1A91F000">
                <wp:simplePos x="0" y="0"/>
                <wp:positionH relativeFrom="column">
                  <wp:posOffset>3686810</wp:posOffset>
                </wp:positionH>
                <wp:positionV relativeFrom="paragraph">
                  <wp:posOffset>635</wp:posOffset>
                </wp:positionV>
                <wp:extent cx="2047240" cy="2335530"/>
                <wp:effectExtent l="0" t="0" r="10160" b="2667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2335530"/>
                        </a:xfrm>
                        <a:prstGeom prst="rect">
                          <a:avLst/>
                        </a:prstGeom>
                        <a:solidFill>
                          <a:srgbClr val="FFFFFF"/>
                        </a:solidFill>
                        <a:ln w="9525">
                          <a:solidFill>
                            <a:schemeClr val="accent1">
                              <a:lumMod val="60000"/>
                              <a:lumOff val="40000"/>
                            </a:schemeClr>
                          </a:solidFill>
                          <a:miter lim="800000"/>
                          <a:headEnd/>
                          <a:tailEnd/>
                        </a:ln>
                      </wps:spPr>
                      <wps:txb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Land- und Baumaschinen</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Einsatzfahrzeuge</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Straßenbau</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Transportindustrie</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Steuerungstechnik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Regelungstechnik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Energieversorgungen</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Robotertechnik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Spritzgussmaschinen</w:t>
                            </w:r>
                          </w:p>
                          <w:p w:rsidR="00BE2FDE" w:rsidRPr="00BE2FDE"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Werkzeugmaschinen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90.3pt;margin-top:.05pt;width:161.2pt;height:18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" strokecolor="#95b3d7 [1940]">
                <v:textbox>
                  <w:txbxContent>
                    <w:p w:rsidR="00BE2FDE" w:rsidRPr="00BE2FDE" w:rsidRDefault="00BE2FDE" w:rsidP="00BE2FDE">
                      <w:pPr>
                        <w:rPr>
                          <w:rFonts w:ascii="Times New Roman" w:hAnsi="Times New Roman" w:cs="Times New Roman"/>
                          <w:b/>
                          <w:color w:val="365F91" w:themeColor="accent1" w:themeShade="BF"/>
                          <w:spacing w:val="0"/>
                          <w:sz w:val="22"/>
                          <w:szCs w:val="22"/>
                          <w:u w:val="single"/>
                          <w:lang w:bidi="ar-SA"/>
                        </w:rPr>
                      </w:pPr>
                      <w:r w:rsidRPr="00BE2FDE">
                        <w:rPr>
                          <w:rFonts w:ascii="Times New Roman" w:hAnsi="Times New Roman" w:cs="Times New Roman"/>
                          <w:b/>
                          <w:color w:val="365F91" w:themeColor="accent1" w:themeShade="BF"/>
                          <w:spacing w:val="0"/>
                          <w:sz w:val="22"/>
                          <w:szCs w:val="22"/>
                          <w:u w:val="single"/>
                          <w:lang w:bidi="ar-SA"/>
                        </w:rPr>
                        <w:t>Anwendungsfelder:</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Land- und Baumaschinen</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Einsatzfahrzeuge</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Straßenbau</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Transportindustrie</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Steuerungstechnik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Regelungstechnik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Energieversorgungen</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Robotertechnik</w:t>
                      </w:r>
                    </w:p>
                    <w:p w:rsidR="00B43472" w:rsidRPr="00B43472"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Spritzgussmaschinen</w:t>
                      </w:r>
                    </w:p>
                    <w:p w:rsidR="00BE2FDE" w:rsidRPr="00BE2FDE" w:rsidRDefault="00B43472" w:rsidP="00B43472">
                      <w:pPr>
                        <w:pStyle w:val="Listenabsatz"/>
                        <w:numPr>
                          <w:ilvl w:val="0"/>
                          <w:numId w:val="6"/>
                        </w:numPr>
                        <w:rPr>
                          <w:rFonts w:ascii="Times New Roman" w:hAnsi="Times New Roman" w:cs="Times New Roman"/>
                          <w:color w:val="060606"/>
                          <w:spacing w:val="0"/>
                          <w:sz w:val="22"/>
                          <w:szCs w:val="22"/>
                          <w:lang w:bidi="ar-SA"/>
                        </w:rPr>
                      </w:pPr>
                      <w:r w:rsidRPr="00B43472">
                        <w:rPr>
                          <w:rFonts w:ascii="Times New Roman" w:hAnsi="Times New Roman" w:cs="Times New Roman"/>
                          <w:color w:val="060606"/>
                          <w:spacing w:val="0"/>
                          <w:sz w:val="22"/>
                          <w:szCs w:val="22"/>
                          <w:lang w:bidi="ar-SA"/>
                        </w:rPr>
                        <w:t>Werkzeugmaschinen</w:t>
                      </w:r>
                    </w:p>
                  </w:txbxContent>
                </v:textbox>
              </v:shape>
            </w:pict>
          </mc:Fallback>
        </mc:AlternateContent>
      </w:r>
      <w:r w:rsidR="00C17ADC" w:rsidRPr="00BE2FDE">
        <w:rPr>
          <w:rFonts w:ascii="Times New Roman" w:hAnsi="Times New Roman" w:cs="Times New Roman"/>
          <w:noProof/>
          <w:sz w:val="20"/>
          <w:szCs w:val="20"/>
          <w:lang w:bidi="ar-SA"/>
        </w:rPr>
        <mc:AlternateContent>
          <mc:Choice Requires="wps">
            <w:drawing>
              <wp:anchor distT="0" distB="0" distL="114300" distR="114300" simplePos="0" relativeHeight="251678720" behindDoc="0" locked="0" layoutInCell="1" allowOverlap="1" wp14:anchorId="4207B5A3" wp14:editId="3CD0170A">
                <wp:simplePos x="0" y="0"/>
                <wp:positionH relativeFrom="column">
                  <wp:posOffset>0</wp:posOffset>
                </wp:positionH>
                <wp:positionV relativeFrom="paragraph">
                  <wp:posOffset>856</wp:posOffset>
                </wp:positionV>
                <wp:extent cx="3686810" cy="2335696"/>
                <wp:effectExtent l="0" t="0" r="27940" b="2667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810" cy="2335696"/>
                        </a:xfrm>
                        <a:prstGeom prst="rect">
                          <a:avLst/>
                        </a:prstGeom>
                        <a:solidFill>
                          <a:srgbClr val="FFFFFF"/>
                        </a:solidFill>
                        <a:ln w="9525">
                          <a:solidFill>
                            <a:schemeClr val="accent1">
                              <a:lumMod val="60000"/>
                              <a:lumOff val="40000"/>
                            </a:schemeClr>
                          </a:solidFill>
                          <a:miter lim="800000"/>
                          <a:headEnd/>
                          <a:tailEnd/>
                        </a:ln>
                      </wps:spPr>
                      <wps:txb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Kompakte Bauform</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Verteilung von einem Steckverbinder auf 2 Leitungen möglich</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Schutzklasse IP67 im gesteckten Zustand und bei Verwendung einer Abschlusskappe</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Durch die Option von Beschaltungen in Abschlusskappen ist die Verwendung als Abschlussstecker etc. möglich</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Aufgrund der Umspritzung wird ein durchgängiger Schutz vom Gehäuse bis in die Leitung gewährleistet.</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Einsatz in rauen Umgebungen</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Manipulationssicher</w:t>
                            </w:r>
                          </w:p>
                          <w:p w:rsidR="00BE2FDE" w:rsidRPr="00BE2FDE" w:rsidRDefault="00B43472" w:rsidP="00B43472">
                            <w:pPr>
                              <w:pStyle w:val="Listenabsatz"/>
                              <w:numPr>
                                <w:ilvl w:val="0"/>
                                <w:numId w:val="7"/>
                              </w:numPr>
                              <w:rPr>
                                <w:rFonts w:ascii="Times New Roman" w:hAnsi="Times New Roman" w:cs="Times New Roman"/>
                                <w:b/>
                                <w:color w:val="365F91" w:themeColor="accent1" w:themeShade="BF"/>
                                <w:sz w:val="22"/>
                                <w:szCs w:val="22"/>
                                <w:u w:val="single"/>
                              </w:rPr>
                            </w:pPr>
                            <w:r w:rsidRPr="00B43472">
                              <w:rPr>
                                <w:rFonts w:ascii="Times New Roman" w:hAnsi="Times New Roman" w:cs="Times New Roman"/>
                                <w:sz w:val="22"/>
                                <w:szCs w:val="22"/>
                              </w:rPr>
                              <w:t>Geprüfte Konfektion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8" type="#_x0000_t202" style="position:absolute;left:0;text-align:left;margin-left:0;margin-top:.05pt;width:290.3pt;height:18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" strokecolor="#95b3d7 [1940]">
                <v:textbox>
                  <w:txbxContent>
                    <w:p w:rsidR="00BE2FDE" w:rsidRDefault="00E96C97" w:rsidP="00BE2FDE">
                      <w:pPr>
                        <w:rPr>
                          <w:rFonts w:ascii="Times New Roman" w:hAnsi="Times New Roman" w:cs="Times New Roman"/>
                          <w:b/>
                          <w:color w:val="365F91" w:themeColor="accent1" w:themeShade="BF"/>
                          <w:sz w:val="22"/>
                          <w:szCs w:val="22"/>
                          <w:u w:val="single"/>
                        </w:rPr>
                      </w:pPr>
                      <w:r>
                        <w:rPr>
                          <w:rFonts w:ascii="Times New Roman" w:hAnsi="Times New Roman" w:cs="Times New Roman"/>
                          <w:b/>
                          <w:color w:val="365F91" w:themeColor="accent1" w:themeShade="BF"/>
                          <w:sz w:val="22"/>
                          <w:szCs w:val="22"/>
                          <w:u w:val="single"/>
                        </w:rPr>
                        <w:t>Vorteile</w:t>
                      </w:r>
                      <w:r w:rsidR="00BE2FDE" w:rsidRPr="00BE2FDE">
                        <w:rPr>
                          <w:rFonts w:ascii="Times New Roman" w:hAnsi="Times New Roman" w:cs="Times New Roman"/>
                          <w:b/>
                          <w:color w:val="365F91" w:themeColor="accent1" w:themeShade="BF"/>
                          <w:sz w:val="22"/>
                          <w:szCs w:val="22"/>
                          <w:u w:val="single"/>
                        </w:rPr>
                        <w:t>:</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Kompakte Bauform</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Verteilung von einem Steckverbinder auf 2 Leitungen möglich</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Schutzklasse IP67 im gesteckten Zustand und bei Verwendung einer Abschlusskappe</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Durch die Option von Beschaltungen in Abschlusskappen ist die Verwendung als Abschlussstecker etc. möglich</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Aufgrund der Umspritzung wird ein durchgängiger Schutz vom Gehäuse bis in die Leitung gewährleistet.</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Einsatz in rauen Umgebungen</w:t>
                      </w:r>
                    </w:p>
                    <w:p w:rsidR="00B43472" w:rsidRPr="00B43472" w:rsidRDefault="00B43472" w:rsidP="00B43472">
                      <w:pPr>
                        <w:pStyle w:val="Listenabsatz"/>
                        <w:numPr>
                          <w:ilvl w:val="0"/>
                          <w:numId w:val="7"/>
                        </w:numPr>
                        <w:rPr>
                          <w:rFonts w:ascii="Times New Roman" w:hAnsi="Times New Roman" w:cs="Times New Roman"/>
                          <w:sz w:val="22"/>
                          <w:szCs w:val="22"/>
                        </w:rPr>
                      </w:pPr>
                      <w:r w:rsidRPr="00B43472">
                        <w:rPr>
                          <w:rFonts w:ascii="Times New Roman" w:hAnsi="Times New Roman" w:cs="Times New Roman"/>
                          <w:sz w:val="22"/>
                          <w:szCs w:val="22"/>
                        </w:rPr>
                        <w:t>Manipulationssicher</w:t>
                      </w:r>
                    </w:p>
                    <w:p w:rsidR="00BE2FDE" w:rsidRPr="00BE2FDE" w:rsidRDefault="00B43472" w:rsidP="00B43472">
                      <w:pPr>
                        <w:pStyle w:val="Listenabsatz"/>
                        <w:numPr>
                          <w:ilvl w:val="0"/>
                          <w:numId w:val="7"/>
                        </w:numPr>
                        <w:rPr>
                          <w:rFonts w:ascii="Times New Roman" w:hAnsi="Times New Roman" w:cs="Times New Roman"/>
                          <w:b/>
                          <w:color w:val="365F91" w:themeColor="accent1" w:themeShade="BF"/>
                          <w:sz w:val="22"/>
                          <w:szCs w:val="22"/>
                          <w:u w:val="single"/>
                        </w:rPr>
                      </w:pPr>
                      <w:r w:rsidRPr="00B43472">
                        <w:rPr>
                          <w:rFonts w:ascii="Times New Roman" w:hAnsi="Times New Roman" w:cs="Times New Roman"/>
                          <w:sz w:val="22"/>
                          <w:szCs w:val="22"/>
                        </w:rPr>
                        <w:t>Geprüfte Konfektion</w:t>
                      </w:r>
                    </w:p>
                  </w:txbxContent>
                </v:textbox>
              </v:shape>
            </w:pict>
          </mc:Fallback>
        </mc:AlternateContent>
      </w: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BE2FDE" w:rsidRDefault="00BE2FDE"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010822" w:rsidRDefault="00010822"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B43472" w:rsidRDefault="00B43472" w:rsidP="00555203">
      <w:pPr>
        <w:jc w:val="both"/>
        <w:rPr>
          <w:rFonts w:ascii="Times New Roman" w:hAnsi="Times New Roman" w:cs="Times New Roman"/>
          <w:sz w:val="20"/>
          <w:szCs w:val="20"/>
        </w:rPr>
      </w:pPr>
    </w:p>
    <w:p w:rsidR="005D567A" w:rsidRDefault="005D567A" w:rsidP="00555203">
      <w:pPr>
        <w:jc w:val="both"/>
        <w:rPr>
          <w:rFonts w:ascii="Times New Roman" w:hAnsi="Times New Roman" w:cs="Times New Roman"/>
          <w:sz w:val="20"/>
          <w:szCs w:val="20"/>
        </w:rPr>
      </w:pPr>
    </w:p>
    <w:p w:rsidR="00010822" w:rsidRPr="002D0B72" w:rsidRDefault="005D567A" w:rsidP="00555203">
      <w:pPr>
        <w:jc w:val="both"/>
        <w:rPr>
          <w:rFonts w:ascii="Times New Roman" w:hAnsi="Times New Roman" w:cs="Times New Roman"/>
          <w:b/>
          <w:color w:val="365F91" w:themeColor="accent1" w:themeShade="BF"/>
          <w:sz w:val="24"/>
          <w:szCs w:val="24"/>
          <w:u w:val="single"/>
        </w:rPr>
      </w:pPr>
      <w:r w:rsidRPr="002D0B72">
        <w:rPr>
          <w:rFonts w:ascii="Times New Roman" w:hAnsi="Times New Roman" w:cs="Times New Roman"/>
          <w:b/>
          <w:color w:val="365F91" w:themeColor="accent1" w:themeShade="BF"/>
          <w:sz w:val="24"/>
          <w:szCs w:val="24"/>
          <w:u w:val="single"/>
        </w:rPr>
        <w:t>Technisc</w:t>
      </w:r>
      <w:r w:rsidR="00010822" w:rsidRPr="002D0B72">
        <w:rPr>
          <w:rFonts w:ascii="Times New Roman" w:hAnsi="Times New Roman" w:cs="Times New Roman"/>
          <w:b/>
          <w:color w:val="365F91" w:themeColor="accent1" w:themeShade="BF"/>
          <w:sz w:val="24"/>
          <w:szCs w:val="24"/>
          <w:u w:val="single"/>
        </w:rPr>
        <w:t>he Daten:</w:t>
      </w:r>
    </w:p>
    <w:p w:rsidR="00010822" w:rsidRDefault="00010822" w:rsidP="00555203">
      <w:pPr>
        <w:jc w:val="both"/>
        <w:rPr>
          <w:rFonts w:ascii="Times New Roman" w:hAnsi="Times New Roman" w:cs="Times New Roman"/>
          <w:sz w:val="20"/>
          <w:szCs w:val="20"/>
        </w:rPr>
      </w:pPr>
    </w:p>
    <w:tbl>
      <w:tblPr>
        <w:tblStyle w:val="HellesRaster-Akzent11"/>
        <w:tblW w:w="9889" w:type="dxa"/>
        <w:tblLook w:val="04A0" w:firstRow="1" w:lastRow="0" w:firstColumn="1" w:lastColumn="0" w:noHBand="0" w:noVBand="1"/>
      </w:tblPr>
      <w:tblGrid>
        <w:gridCol w:w="3510"/>
        <w:gridCol w:w="1488"/>
        <w:gridCol w:w="1773"/>
        <w:gridCol w:w="3118"/>
      </w:tblGrid>
      <w:tr w:rsidR="00B43472" w:rsidRPr="00F07A58" w:rsidTr="00A51D6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tcBorders>
              <w:bottom w:val="single" w:sz="8" w:space="0" w:color="4F81BD" w:themeColor="accent1"/>
            </w:tcBorders>
            <w:noWrap/>
          </w:tcPr>
          <w:p w:rsidR="00B43472" w:rsidRPr="00B43472" w:rsidRDefault="00B43472" w:rsidP="00A51D64">
            <w:pPr>
              <w:rPr>
                <w:rFonts w:ascii="Times New Roman" w:eastAsia="Times New Roman" w:hAnsi="Times New Roman" w:cs="Times New Roman"/>
                <w:color w:val="000000"/>
                <w:lang w:eastAsia="de-DE"/>
              </w:rPr>
            </w:pPr>
            <w:r w:rsidRPr="00B43472">
              <w:rPr>
                <w:rFonts w:ascii="Times New Roman" w:eastAsia="Times New Roman" w:hAnsi="Times New Roman" w:cs="Times New Roman"/>
                <w:color w:val="000000"/>
                <w:lang w:eastAsia="de-DE"/>
              </w:rPr>
              <w:t>Merkmale</w:t>
            </w:r>
          </w:p>
        </w:tc>
        <w:tc>
          <w:tcPr>
            <w:tcW w:w="3261" w:type="dxa"/>
            <w:gridSpan w:val="2"/>
            <w:tcBorders>
              <w:bottom w:val="single" w:sz="8" w:space="0" w:color="4F81BD" w:themeColor="accent1"/>
            </w:tcBorders>
            <w:noWrap/>
          </w:tcPr>
          <w:p w:rsidR="00B43472" w:rsidRPr="00B43472" w:rsidRDefault="00B43472" w:rsidP="00A51D6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CPC Serie</w:t>
            </w:r>
            <w:r w:rsidR="00330B8C">
              <w:rPr>
                <w:rFonts w:ascii="Times New Roman" w:hAnsi="Times New Roman" w:cs="Times New Roman"/>
              </w:rPr>
              <w:t xml:space="preserve"> 1</w:t>
            </w:r>
          </w:p>
        </w:tc>
        <w:tc>
          <w:tcPr>
            <w:tcW w:w="3118" w:type="dxa"/>
            <w:tcBorders>
              <w:bottom w:val="single" w:sz="8" w:space="0" w:color="4F81BD" w:themeColor="accent1"/>
            </w:tcBorders>
          </w:tcPr>
          <w:p w:rsidR="00B43472" w:rsidRPr="00B43472" w:rsidRDefault="00B43472" w:rsidP="00A51D6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CPC Serie</w:t>
            </w:r>
            <w:r w:rsidR="00330B8C">
              <w:rPr>
                <w:rFonts w:ascii="Times New Roman" w:hAnsi="Times New Roman" w:cs="Times New Roman"/>
              </w:rPr>
              <w:t xml:space="preserve"> 3</w:t>
            </w: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hideMark/>
          </w:tcPr>
          <w:p w:rsidR="00B43472" w:rsidRPr="00B43472" w:rsidRDefault="00B43472" w:rsidP="00A51D64">
            <w:pPr>
              <w:rPr>
                <w:rFonts w:ascii="Times New Roman" w:eastAsia="Times New Roman" w:hAnsi="Times New Roman" w:cs="Times New Roman"/>
                <w:color w:val="000000"/>
                <w:lang w:eastAsia="de-DE"/>
              </w:rPr>
            </w:pPr>
            <w:r w:rsidRPr="00B43472">
              <w:rPr>
                <w:rFonts w:ascii="Times New Roman" w:eastAsiaTheme="minorHAnsi" w:hAnsi="Times New Roman" w:cs="Times New Roman"/>
              </w:rPr>
              <w:t>Baugröße / Size</w:t>
            </w:r>
          </w:p>
        </w:tc>
        <w:tc>
          <w:tcPr>
            <w:tcW w:w="3261" w:type="dxa"/>
            <w:gridSpan w:val="2"/>
            <w:noWrap/>
            <w:hideMark/>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lang w:eastAsia="de-DE"/>
              </w:rPr>
            </w:pPr>
            <w:r w:rsidRPr="00B43472">
              <w:rPr>
                <w:rFonts w:ascii="Times New Roman" w:hAnsi="Times New Roman" w:cs="Times New Roman"/>
              </w:rPr>
              <w:t>13</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17</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hideMark/>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Verriegelungsart</w:t>
            </w:r>
          </w:p>
        </w:tc>
        <w:tc>
          <w:tcPr>
            <w:tcW w:w="3261" w:type="dxa"/>
            <w:gridSpan w:val="2"/>
            <w:noWrap/>
            <w:hideMark/>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Schraub</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Schraub</w:t>
            </w: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hideMark/>
          </w:tcPr>
          <w:p w:rsidR="00B43472" w:rsidRPr="00B43472" w:rsidRDefault="00B43472" w:rsidP="00A51D64">
            <w:pPr>
              <w:rPr>
                <w:rFonts w:ascii="Times New Roman" w:hAnsi="Times New Roman" w:cs="Times New Roman"/>
                <w:b w:val="0"/>
                <w:bCs w:val="0"/>
              </w:rPr>
            </w:pPr>
            <w:r w:rsidRPr="00B43472">
              <w:rPr>
                <w:rFonts w:ascii="Times New Roman" w:eastAsiaTheme="minorHAnsi" w:hAnsi="Times New Roman" w:cs="Times New Roman"/>
              </w:rPr>
              <w:t>Anschlussleitung</w:t>
            </w:r>
          </w:p>
        </w:tc>
        <w:tc>
          <w:tcPr>
            <w:tcW w:w="3261" w:type="dxa"/>
            <w:gridSpan w:val="2"/>
            <w:noWrap/>
            <w:hideMark/>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Wingdings" w:hAnsi="Wingdings" w:cs="Times New Roman"/>
              </w:rPr>
            </w:pPr>
            <w:r w:rsidRPr="00B43472">
              <w:rPr>
                <w:rFonts w:ascii="Wingdings" w:hAnsi="Wingdings" w:cs="Times New Roman"/>
              </w:rPr>
              <w:t></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3472">
              <w:rPr>
                <w:rFonts w:ascii="Wingdings" w:hAnsi="Wingdings" w:cs="Times New Roman"/>
              </w:rPr>
              <w:t></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hideMark/>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Doppelausgang</w:t>
            </w:r>
          </w:p>
        </w:tc>
        <w:tc>
          <w:tcPr>
            <w:tcW w:w="3261" w:type="dxa"/>
            <w:gridSpan w:val="2"/>
            <w:noWrap/>
            <w:hideMark/>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Wingdings" w:hAnsi="Wingdings" w:cs="Times New Roman"/>
              </w:rPr>
              <w:t></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hideMark/>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Abschlusskappe</w:t>
            </w:r>
          </w:p>
        </w:tc>
        <w:tc>
          <w:tcPr>
            <w:tcW w:w="3261" w:type="dxa"/>
            <w:gridSpan w:val="2"/>
            <w:noWrap/>
            <w:hideMark/>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Wingdings" w:hAnsi="Wingdings" w:cs="Times New Roman"/>
              </w:rPr>
              <w:t></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Wingdings" w:hAnsi="Wingdings" w:cs="Times New Roman"/>
              </w:rPr>
              <w:t></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heme="minorHAnsi" w:hAnsi="Times New Roman" w:cs="Times New Roman"/>
              </w:rPr>
            </w:pPr>
            <w:r w:rsidRPr="00B43472">
              <w:rPr>
                <w:rFonts w:ascii="Times New Roman" w:eastAsiaTheme="minorHAnsi" w:hAnsi="Times New Roman" w:cs="Times New Roman"/>
              </w:rPr>
              <w:t>Buchse / Stift</w:t>
            </w:r>
          </w:p>
        </w:tc>
        <w:tc>
          <w:tcPr>
            <w:tcW w:w="3261" w:type="dxa"/>
            <w:gridSpan w:val="2"/>
            <w:noWrap/>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Wingdings" w:hAnsi="Wingdings" w:cs="Times New Roman"/>
              </w:rPr>
              <w:t></w:t>
            </w:r>
            <w:r w:rsidRPr="00B43472">
              <w:rPr>
                <w:rFonts w:ascii="Times New Roman" w:hAnsi="Times New Roman" w:cs="Times New Roman"/>
              </w:rPr>
              <w:t xml:space="preserve">/ </w:t>
            </w:r>
            <w:r w:rsidRPr="00B43472">
              <w:rPr>
                <w:rFonts w:ascii="Wingdings" w:hAnsi="Wingdings" w:cs="Times New Roman"/>
              </w:rPr>
              <w:t></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Wingdings" w:hAnsi="Wingdings" w:cs="Times New Roman"/>
              </w:rPr>
              <w:t></w:t>
            </w:r>
            <w:r w:rsidRPr="00B43472">
              <w:rPr>
                <w:rFonts w:ascii="Times New Roman" w:hAnsi="Times New Roman" w:cs="Times New Roman"/>
              </w:rPr>
              <w:t>/ -</w:t>
            </w: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proofErr w:type="spellStart"/>
            <w:r w:rsidRPr="00B43472">
              <w:rPr>
                <w:rFonts w:ascii="Times New Roman" w:eastAsiaTheme="minorHAnsi" w:hAnsi="Times New Roman" w:cs="Times New Roman"/>
                <w:lang w:val="en-US"/>
              </w:rPr>
              <w:t>Polzahl</w:t>
            </w:r>
            <w:proofErr w:type="spellEnd"/>
            <w:r w:rsidRPr="00B43472">
              <w:rPr>
                <w:rFonts w:ascii="Times New Roman" w:eastAsiaTheme="minorHAnsi" w:hAnsi="Times New Roman" w:cs="Times New Roman"/>
                <w:lang w:val="en-US"/>
              </w:rPr>
              <w:t xml:space="preserve"> </w:t>
            </w:r>
          </w:p>
        </w:tc>
        <w:tc>
          <w:tcPr>
            <w:tcW w:w="1488" w:type="dxa"/>
            <w:noWrap/>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eastAsia="Times New Roman" w:hAnsi="Times New Roman" w:cs="Times New Roman"/>
                <w:color w:val="000000"/>
                <w:lang w:eastAsia="de-DE"/>
              </w:rPr>
              <w:t>9</w:t>
            </w:r>
          </w:p>
        </w:tc>
        <w:tc>
          <w:tcPr>
            <w:tcW w:w="1773"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eastAsia="Times New Roman" w:hAnsi="Times New Roman" w:cs="Times New Roman"/>
                <w:color w:val="000000"/>
                <w:lang w:eastAsia="de-DE"/>
              </w:rPr>
              <w:t>7</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eastAsia="Times New Roman" w:hAnsi="Times New Roman" w:cs="Times New Roman"/>
                <w:color w:val="000000"/>
                <w:lang w:eastAsia="de-DE"/>
              </w:rPr>
              <w:t>3</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Litzenquerschnitt</w:t>
            </w:r>
          </w:p>
        </w:tc>
        <w:tc>
          <w:tcPr>
            <w:tcW w:w="3261" w:type="dxa"/>
            <w:gridSpan w:val="2"/>
            <w:noWrap/>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0,75 mm²</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1,5 mm²</w:t>
            </w: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heme="minorHAnsi" w:hAnsi="Times New Roman" w:cs="Times New Roman"/>
                <w:b w:val="0"/>
                <w:bCs w:val="0"/>
              </w:rPr>
            </w:pPr>
            <w:r w:rsidRPr="00B43472">
              <w:rPr>
                <w:rFonts w:ascii="Times New Roman" w:eastAsiaTheme="minorHAnsi" w:hAnsi="Times New Roman" w:cs="Times New Roman"/>
              </w:rPr>
              <w:t>Bemessungsspannung</w:t>
            </w:r>
          </w:p>
        </w:tc>
        <w:tc>
          <w:tcPr>
            <w:tcW w:w="3261" w:type="dxa"/>
            <w:gridSpan w:val="2"/>
            <w:noWrap/>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250 V AC/DC</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250 V AC/DC</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proofErr w:type="spellStart"/>
            <w:r w:rsidRPr="00B43472">
              <w:rPr>
                <w:rFonts w:ascii="Times New Roman" w:eastAsiaTheme="minorHAnsi" w:hAnsi="Times New Roman" w:cs="Times New Roman"/>
                <w:lang w:val="en-US"/>
              </w:rPr>
              <w:t>Strombelastbarkeit</w:t>
            </w:r>
            <w:proofErr w:type="spellEnd"/>
            <w:r w:rsidRPr="00B43472">
              <w:rPr>
                <w:rFonts w:ascii="Times New Roman" w:eastAsiaTheme="minorHAnsi" w:hAnsi="Times New Roman" w:cs="Times New Roman"/>
                <w:lang w:val="en-US"/>
              </w:rPr>
              <w:t xml:space="preserve"> </w:t>
            </w:r>
          </w:p>
        </w:tc>
        <w:tc>
          <w:tcPr>
            <w:tcW w:w="1488" w:type="dxa"/>
            <w:noWrap/>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5 A @ 40 °C</w:t>
            </w:r>
          </w:p>
        </w:tc>
        <w:tc>
          <w:tcPr>
            <w:tcW w:w="1773"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6 A @ 40 °C</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15 A @ 40 °C</w:t>
            </w: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color w:val="000000" w:themeColor="text1"/>
              </w:rPr>
              <w:t>Temperaturbereich</w:t>
            </w:r>
          </w:p>
        </w:tc>
        <w:tc>
          <w:tcPr>
            <w:tcW w:w="3261" w:type="dxa"/>
            <w:gridSpan w:val="2"/>
            <w:noWrap/>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-40 °C - +105 °C</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color w:val="000000" w:themeColor="text1"/>
              </w:rPr>
              <w:t>-40 °C - +105 °C</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Gehäusematerial</w:t>
            </w:r>
          </w:p>
        </w:tc>
        <w:tc>
          <w:tcPr>
            <w:tcW w:w="3261" w:type="dxa"/>
            <w:gridSpan w:val="2"/>
            <w:noWrap/>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proofErr w:type="spellStart"/>
            <w:r w:rsidRPr="00B43472">
              <w:rPr>
                <w:rFonts w:ascii="Times New Roman" w:hAnsi="Times New Roman" w:cs="Times New Roman"/>
                <w:lang w:val="en-US"/>
              </w:rPr>
              <w:t>Thermoplastik</w:t>
            </w:r>
            <w:proofErr w:type="spellEnd"/>
            <w:r w:rsidRPr="00B43472">
              <w:rPr>
                <w:rFonts w:ascii="Times New Roman" w:hAnsi="Times New Roman" w:cs="Times New Roman"/>
                <w:lang w:val="en-US"/>
              </w:rPr>
              <w:t xml:space="preserve"> UL 94-V0</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proofErr w:type="spellStart"/>
            <w:r w:rsidRPr="00B43472">
              <w:rPr>
                <w:rFonts w:ascii="Times New Roman" w:hAnsi="Times New Roman" w:cs="Times New Roman"/>
                <w:lang w:val="en-US"/>
              </w:rPr>
              <w:t>Thermoplastik</w:t>
            </w:r>
            <w:proofErr w:type="spellEnd"/>
            <w:r w:rsidRPr="00B43472">
              <w:rPr>
                <w:rFonts w:ascii="Times New Roman" w:hAnsi="Times New Roman" w:cs="Times New Roman"/>
                <w:lang w:val="en-US"/>
              </w:rPr>
              <w:t xml:space="preserve"> UL 94-V0</w:t>
            </w:r>
          </w:p>
          <w:p w:rsidR="00B43472" w:rsidRPr="00B43472" w:rsidRDefault="00B43472" w:rsidP="00A51D6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lang w:eastAsia="de-DE"/>
              </w:rPr>
            </w:pPr>
          </w:p>
        </w:tc>
      </w:tr>
      <w:tr w:rsidR="00B43472" w:rsidRPr="00F07A58" w:rsidTr="00A51D6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imes New Roman" w:hAnsi="Times New Roman" w:cs="Times New Roman"/>
                <w:b w:val="0"/>
                <w:bCs w:val="0"/>
                <w:color w:val="000000"/>
                <w:lang w:eastAsia="de-DE"/>
              </w:rPr>
            </w:pPr>
            <w:r w:rsidRPr="00B43472">
              <w:rPr>
                <w:rFonts w:ascii="Times New Roman" w:eastAsiaTheme="minorHAnsi" w:hAnsi="Times New Roman" w:cs="Times New Roman"/>
              </w:rPr>
              <w:t>Kontaktmaterial</w:t>
            </w:r>
          </w:p>
        </w:tc>
        <w:tc>
          <w:tcPr>
            <w:tcW w:w="3261" w:type="dxa"/>
            <w:gridSpan w:val="2"/>
            <w:noWrap/>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Kupferlegierung, verzinnt</w:t>
            </w:r>
          </w:p>
        </w:tc>
        <w:tc>
          <w:tcPr>
            <w:tcW w:w="3118" w:type="dxa"/>
          </w:tcPr>
          <w:p w:rsidR="00B43472" w:rsidRPr="00B43472" w:rsidRDefault="00B43472" w:rsidP="00A51D64">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de-DE"/>
              </w:rPr>
            </w:pPr>
            <w:r w:rsidRPr="00B43472">
              <w:rPr>
                <w:rFonts w:ascii="Times New Roman" w:hAnsi="Times New Roman" w:cs="Times New Roman"/>
              </w:rPr>
              <w:t>Kupferlegierung, verzinnt</w:t>
            </w:r>
          </w:p>
        </w:tc>
      </w:tr>
      <w:tr w:rsidR="00B43472" w:rsidRPr="00F07A58" w:rsidTr="00A51D64">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10" w:type="dxa"/>
            <w:noWrap/>
          </w:tcPr>
          <w:p w:rsidR="00B43472" w:rsidRPr="00B43472" w:rsidRDefault="00B43472" w:rsidP="00A51D64">
            <w:pPr>
              <w:rPr>
                <w:rFonts w:ascii="Times New Roman" w:eastAsiaTheme="minorHAnsi" w:hAnsi="Times New Roman" w:cs="Times New Roman"/>
                <w:b w:val="0"/>
                <w:bCs w:val="0"/>
              </w:rPr>
            </w:pPr>
            <w:r w:rsidRPr="00B43472">
              <w:rPr>
                <w:rFonts w:ascii="Times New Roman" w:eastAsiaTheme="minorHAnsi" w:hAnsi="Times New Roman" w:cs="Times New Roman"/>
              </w:rPr>
              <w:t>Schutzart</w:t>
            </w:r>
          </w:p>
        </w:tc>
        <w:tc>
          <w:tcPr>
            <w:tcW w:w="3261" w:type="dxa"/>
            <w:gridSpan w:val="2"/>
            <w:noWrap/>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r w:rsidRPr="00B43472">
              <w:rPr>
                <w:rFonts w:ascii="Times New Roman" w:hAnsi="Times New Roman" w:cs="Times New Roman"/>
                <w:color w:val="000000" w:themeColor="text1"/>
              </w:rPr>
              <w:t>IP67 im gesteckten Zustand</w:t>
            </w:r>
          </w:p>
        </w:tc>
        <w:tc>
          <w:tcPr>
            <w:tcW w:w="3118" w:type="dxa"/>
          </w:tcPr>
          <w:p w:rsidR="00B43472" w:rsidRPr="00B43472" w:rsidRDefault="00B43472" w:rsidP="00A51D6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rPr>
            </w:pPr>
            <w:r w:rsidRPr="00B43472">
              <w:rPr>
                <w:rFonts w:ascii="Times New Roman" w:hAnsi="Times New Roman" w:cs="Times New Roman"/>
                <w:color w:val="000000" w:themeColor="text1"/>
              </w:rPr>
              <w:t>IP67 im gesteckten Zustand</w:t>
            </w:r>
          </w:p>
        </w:tc>
      </w:tr>
    </w:tbl>
    <w:p w:rsidR="0066255D" w:rsidRPr="00D868E6" w:rsidRDefault="0066255D" w:rsidP="00555203">
      <w:pPr>
        <w:jc w:val="both"/>
        <w:rPr>
          <w:rFonts w:ascii="Times New Roman" w:hAnsi="Times New Roman" w:cs="Times New Roman"/>
          <w:sz w:val="20"/>
          <w:szCs w:val="20"/>
        </w:rPr>
      </w:pPr>
    </w:p>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4"/>
      <w:headerReference w:type="default" r:id="rId15"/>
      <w:footerReference w:type="default" r:id="rId16"/>
      <w:footerReference w:type="first" r:id="rId17"/>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orbel"/>
    <w:charset w:val="00"/>
    <w:family w:val="swiss"/>
    <w:pitch w:val="variable"/>
    <w:sig w:usb0="800000AF" w:usb1="5000204A" w:usb2="00000000" w:usb3="00000000" w:csb0="0000009B"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D32CD3">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2F3C"/>
    <w:multiLevelType w:val="hybridMultilevel"/>
    <w:tmpl w:val="AD0AF78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60D64913"/>
    <w:multiLevelType w:val="hybridMultilevel"/>
    <w:tmpl w:val="4B3CC2F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9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822"/>
    <w:rsid w:val="00010996"/>
    <w:rsid w:val="00015C99"/>
    <w:rsid w:val="0002035C"/>
    <w:rsid w:val="000209CF"/>
    <w:rsid w:val="00022777"/>
    <w:rsid w:val="00050D1C"/>
    <w:rsid w:val="00055297"/>
    <w:rsid w:val="00064ECA"/>
    <w:rsid w:val="00066118"/>
    <w:rsid w:val="000676D0"/>
    <w:rsid w:val="00070904"/>
    <w:rsid w:val="00081DDD"/>
    <w:rsid w:val="00095D23"/>
    <w:rsid w:val="00097D5E"/>
    <w:rsid w:val="00097F8C"/>
    <w:rsid w:val="000A119F"/>
    <w:rsid w:val="000B47A7"/>
    <w:rsid w:val="000C14C7"/>
    <w:rsid w:val="000C1C2C"/>
    <w:rsid w:val="000D0FBB"/>
    <w:rsid w:val="000D1EDC"/>
    <w:rsid w:val="000D2493"/>
    <w:rsid w:val="000D502D"/>
    <w:rsid w:val="000D62D2"/>
    <w:rsid w:val="000D6876"/>
    <w:rsid w:val="000D7DB0"/>
    <w:rsid w:val="000E5155"/>
    <w:rsid w:val="000F21FE"/>
    <w:rsid w:val="000F5FEC"/>
    <w:rsid w:val="001011EF"/>
    <w:rsid w:val="00103454"/>
    <w:rsid w:val="001079A2"/>
    <w:rsid w:val="00112705"/>
    <w:rsid w:val="0011393E"/>
    <w:rsid w:val="00117CAD"/>
    <w:rsid w:val="00125E0A"/>
    <w:rsid w:val="00136170"/>
    <w:rsid w:val="00143F58"/>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204DF4"/>
    <w:rsid w:val="00213117"/>
    <w:rsid w:val="00215B07"/>
    <w:rsid w:val="00216FCA"/>
    <w:rsid w:val="00217A25"/>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D0310"/>
    <w:rsid w:val="002D0B72"/>
    <w:rsid w:val="002E36A2"/>
    <w:rsid w:val="002F1E2B"/>
    <w:rsid w:val="002F52B5"/>
    <w:rsid w:val="00304FE5"/>
    <w:rsid w:val="00305505"/>
    <w:rsid w:val="00305CB0"/>
    <w:rsid w:val="00307F78"/>
    <w:rsid w:val="00312204"/>
    <w:rsid w:val="003138E5"/>
    <w:rsid w:val="00322D0E"/>
    <w:rsid w:val="00330B8C"/>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437F"/>
    <w:rsid w:val="00594A79"/>
    <w:rsid w:val="00595099"/>
    <w:rsid w:val="005B2CE5"/>
    <w:rsid w:val="005B5C15"/>
    <w:rsid w:val="005C4B17"/>
    <w:rsid w:val="005D3B02"/>
    <w:rsid w:val="005D567A"/>
    <w:rsid w:val="005E152F"/>
    <w:rsid w:val="005E2C53"/>
    <w:rsid w:val="005F687B"/>
    <w:rsid w:val="005F6B3D"/>
    <w:rsid w:val="00600498"/>
    <w:rsid w:val="006018CF"/>
    <w:rsid w:val="006044DB"/>
    <w:rsid w:val="006109D3"/>
    <w:rsid w:val="00614CAF"/>
    <w:rsid w:val="006261BD"/>
    <w:rsid w:val="0062755B"/>
    <w:rsid w:val="00627765"/>
    <w:rsid w:val="00630640"/>
    <w:rsid w:val="00641632"/>
    <w:rsid w:val="00641B36"/>
    <w:rsid w:val="00645526"/>
    <w:rsid w:val="00654725"/>
    <w:rsid w:val="00654820"/>
    <w:rsid w:val="006568FF"/>
    <w:rsid w:val="0066255D"/>
    <w:rsid w:val="00666D45"/>
    <w:rsid w:val="00671187"/>
    <w:rsid w:val="00672185"/>
    <w:rsid w:val="00681752"/>
    <w:rsid w:val="0069076D"/>
    <w:rsid w:val="00694C63"/>
    <w:rsid w:val="006A1924"/>
    <w:rsid w:val="006A3FA6"/>
    <w:rsid w:val="006A787C"/>
    <w:rsid w:val="006B5421"/>
    <w:rsid w:val="006C45B8"/>
    <w:rsid w:val="006C6AC6"/>
    <w:rsid w:val="006C75C0"/>
    <w:rsid w:val="006D0256"/>
    <w:rsid w:val="006D50E2"/>
    <w:rsid w:val="006D7588"/>
    <w:rsid w:val="006E0B5B"/>
    <w:rsid w:val="006E1FEB"/>
    <w:rsid w:val="006E6C4E"/>
    <w:rsid w:val="006E7F4E"/>
    <w:rsid w:val="0070263C"/>
    <w:rsid w:val="007443DF"/>
    <w:rsid w:val="007478A8"/>
    <w:rsid w:val="00747CC4"/>
    <w:rsid w:val="00750DDD"/>
    <w:rsid w:val="00756622"/>
    <w:rsid w:val="00762034"/>
    <w:rsid w:val="00767BCA"/>
    <w:rsid w:val="007727E9"/>
    <w:rsid w:val="0077504E"/>
    <w:rsid w:val="007822FC"/>
    <w:rsid w:val="007862F2"/>
    <w:rsid w:val="0079080A"/>
    <w:rsid w:val="0079213C"/>
    <w:rsid w:val="00794544"/>
    <w:rsid w:val="007A27EE"/>
    <w:rsid w:val="007A6FFE"/>
    <w:rsid w:val="007B1DAC"/>
    <w:rsid w:val="007C2BC6"/>
    <w:rsid w:val="007C784D"/>
    <w:rsid w:val="007D235E"/>
    <w:rsid w:val="007E655B"/>
    <w:rsid w:val="007F1128"/>
    <w:rsid w:val="007F35B6"/>
    <w:rsid w:val="008001EF"/>
    <w:rsid w:val="00800CD5"/>
    <w:rsid w:val="00801180"/>
    <w:rsid w:val="00803AF1"/>
    <w:rsid w:val="0081098A"/>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876A0"/>
    <w:rsid w:val="00896D01"/>
    <w:rsid w:val="008A2992"/>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615BC"/>
    <w:rsid w:val="009652FE"/>
    <w:rsid w:val="00971E9B"/>
    <w:rsid w:val="0097486D"/>
    <w:rsid w:val="00984351"/>
    <w:rsid w:val="00993B31"/>
    <w:rsid w:val="009C696C"/>
    <w:rsid w:val="009D08D8"/>
    <w:rsid w:val="009E7715"/>
    <w:rsid w:val="009F5971"/>
    <w:rsid w:val="00A069A3"/>
    <w:rsid w:val="00A11D17"/>
    <w:rsid w:val="00A12BC0"/>
    <w:rsid w:val="00A23D75"/>
    <w:rsid w:val="00A35C9A"/>
    <w:rsid w:val="00A51077"/>
    <w:rsid w:val="00A54055"/>
    <w:rsid w:val="00A55878"/>
    <w:rsid w:val="00A558AE"/>
    <w:rsid w:val="00A61D8C"/>
    <w:rsid w:val="00A66BA4"/>
    <w:rsid w:val="00A7446C"/>
    <w:rsid w:val="00A94C1C"/>
    <w:rsid w:val="00A97168"/>
    <w:rsid w:val="00AA591D"/>
    <w:rsid w:val="00AA7726"/>
    <w:rsid w:val="00AB18F9"/>
    <w:rsid w:val="00AB5AD3"/>
    <w:rsid w:val="00AC3790"/>
    <w:rsid w:val="00AC5A06"/>
    <w:rsid w:val="00AD38CB"/>
    <w:rsid w:val="00AD76F1"/>
    <w:rsid w:val="00AE013D"/>
    <w:rsid w:val="00AF65F0"/>
    <w:rsid w:val="00AF706B"/>
    <w:rsid w:val="00B009CF"/>
    <w:rsid w:val="00B043F4"/>
    <w:rsid w:val="00B12C02"/>
    <w:rsid w:val="00B16D48"/>
    <w:rsid w:val="00B215FB"/>
    <w:rsid w:val="00B2526A"/>
    <w:rsid w:val="00B272B1"/>
    <w:rsid w:val="00B43472"/>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3BE2"/>
    <w:rsid w:val="00BE2FDE"/>
    <w:rsid w:val="00BE411C"/>
    <w:rsid w:val="00BE7C0C"/>
    <w:rsid w:val="00BF5F1B"/>
    <w:rsid w:val="00BF719D"/>
    <w:rsid w:val="00C03F32"/>
    <w:rsid w:val="00C07BDC"/>
    <w:rsid w:val="00C1359A"/>
    <w:rsid w:val="00C13BC2"/>
    <w:rsid w:val="00C17ADC"/>
    <w:rsid w:val="00C356D0"/>
    <w:rsid w:val="00C36075"/>
    <w:rsid w:val="00C44884"/>
    <w:rsid w:val="00C45647"/>
    <w:rsid w:val="00C47BD9"/>
    <w:rsid w:val="00C51DC0"/>
    <w:rsid w:val="00C524D7"/>
    <w:rsid w:val="00C52A1F"/>
    <w:rsid w:val="00C54D52"/>
    <w:rsid w:val="00C57664"/>
    <w:rsid w:val="00C63657"/>
    <w:rsid w:val="00C65770"/>
    <w:rsid w:val="00C7301A"/>
    <w:rsid w:val="00C807DA"/>
    <w:rsid w:val="00C828D1"/>
    <w:rsid w:val="00C82E38"/>
    <w:rsid w:val="00C85260"/>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266B9"/>
    <w:rsid w:val="00D31769"/>
    <w:rsid w:val="00D32CD3"/>
    <w:rsid w:val="00D354D1"/>
    <w:rsid w:val="00D41B21"/>
    <w:rsid w:val="00D51903"/>
    <w:rsid w:val="00D60301"/>
    <w:rsid w:val="00D618E8"/>
    <w:rsid w:val="00D735BE"/>
    <w:rsid w:val="00D73DB8"/>
    <w:rsid w:val="00D83F15"/>
    <w:rsid w:val="00D85C22"/>
    <w:rsid w:val="00D868E6"/>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4D81"/>
    <w:rsid w:val="00E0522A"/>
    <w:rsid w:val="00E0683E"/>
    <w:rsid w:val="00E13BAF"/>
    <w:rsid w:val="00E26ABE"/>
    <w:rsid w:val="00E32547"/>
    <w:rsid w:val="00E328B3"/>
    <w:rsid w:val="00E475E8"/>
    <w:rsid w:val="00E53B64"/>
    <w:rsid w:val="00E564A7"/>
    <w:rsid w:val="00E60680"/>
    <w:rsid w:val="00E77692"/>
    <w:rsid w:val="00E80AE7"/>
    <w:rsid w:val="00E86B9A"/>
    <w:rsid w:val="00E87942"/>
    <w:rsid w:val="00E949E4"/>
    <w:rsid w:val="00E94F6C"/>
    <w:rsid w:val="00E96C97"/>
    <w:rsid w:val="00EA5942"/>
    <w:rsid w:val="00EA632B"/>
    <w:rsid w:val="00EB1BEC"/>
    <w:rsid w:val="00EB26FC"/>
    <w:rsid w:val="00EB367E"/>
    <w:rsid w:val="00EB5739"/>
    <w:rsid w:val="00EC2EF2"/>
    <w:rsid w:val="00EC38CB"/>
    <w:rsid w:val="00ED1362"/>
    <w:rsid w:val="00ED17D8"/>
    <w:rsid w:val="00ED224F"/>
    <w:rsid w:val="00ED5D81"/>
    <w:rsid w:val="00EE009B"/>
    <w:rsid w:val="00EF0324"/>
    <w:rsid w:val="00EF406E"/>
    <w:rsid w:val="00EF4F0D"/>
    <w:rsid w:val="00F03517"/>
    <w:rsid w:val="00F13809"/>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4CF93-2208-4274-9A54-F21BB93D6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3</Pages>
  <Words>435</Words>
  <Characters>2838</Characters>
  <Application>Microsoft Office Word</Application>
  <DocSecurity>0</DocSecurity>
  <Lines>129</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7</cp:revision>
  <cp:lastPrinted>2021-05-27T10:07:00Z</cp:lastPrinted>
  <dcterms:created xsi:type="dcterms:W3CDTF">2021-05-27T10:05:00Z</dcterms:created>
  <dcterms:modified xsi:type="dcterms:W3CDTF">2021-06-10T09:27:00Z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